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pStyle w:val="Title"/>
        <w:rPr/>
      </w:pPr>
      <w:bookmarkStart w:colFirst="0" w:colLast="0" w:name="_3lm8np8x7j6v" w:id="0"/>
      <w:bookmarkEnd w:id="0"/>
      <w:r w:rsidDel="00000000" w:rsidR="00000000" w:rsidRPr="00000000">
        <w:rPr>
          <w:rtl w:val="0"/>
        </w:rPr>
        <w:t xml:space="preserve">Draft Agenda</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Opening and Welcome (5 minutes)</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Leader welcomes all residents and sets the tone for the meeting.</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If there are new residents there are introductions </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Take attendance of residents, note if any residents have an unexcused absence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Leader ensures that someone is taking notes for the meeting.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Icebreaker or Check-In Activity (10 minutes)</w:t>
      </w:r>
    </w:p>
    <w:p w:rsidR="00000000" w:rsidDel="00000000" w:rsidP="00000000" w:rsidRDefault="00000000" w:rsidRPr="00000000" w14:paraId="00000013">
      <w:pPr>
        <w:numPr>
          <w:ilvl w:val="0"/>
          <w:numId w:val="2"/>
        </w:numPr>
        <w:ind w:left="1440" w:hanging="360"/>
        <w:rPr>
          <w:u w:val="none"/>
        </w:rPr>
      </w:pPr>
      <w:r w:rsidDel="00000000" w:rsidR="00000000" w:rsidRPr="00000000">
        <w:rPr>
          <w:rtl w:val="0"/>
        </w:rPr>
        <w:t xml:space="preserve">Engage residents with a brief icebreaker activity or check-in round where everyone shares a brief update on how they're feeling or any successes/challenges they've experienced since the last meeting. An example is sharing the highs and lows of the week - or sharing what they accomplished on their recovery plan.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Review of Any Critical Policies and Procedures (10 Minutes)</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The home should periodically review policies such as emergency, visitor, communicable disease and others to ensure residents remember them</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This time can also be used if a policy was updated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House Maintenance and Upkeep (10 minutes)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Discuss any maintenance issues or concerns within the house (e.g., repairs, cleanliness).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Assign responsibilities for addressing maintenance tasks and follow-up on previous tasks assigned.</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Community Events and Activities (10 minutes)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Share upcoming events, workshops, or activities planned for the recovery home community.</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Encourage residents to propose ideas for future events or activities.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Recognition and Celebrations (10 minutes)</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Acknowledge and celebrate residents' milestones, achievements, or contributions to the community.</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Closing Remarks and Next Steps (5 minutes)</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leader summarizes key points discussed during the meeting.</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Remind residents of any action items or commitments made during the meeting.</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Announce the date and time of the next house meeting.</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Leader follows up with appropriate person about any unexcused absences from the meeting</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Leader ensures notes and attendance records are filed.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